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4C5FE0"/>
          <w:spacing w:val="40"/>
          <w:sz w:val="16"/>
          <w:szCs w:val="16"/>
        </w:rPr>
        <w:t xml:space="preserve">FICHAMENTO ACADÊMICO · EXEMPLO REAL DE ENTREGA</w:t>
      </w:r>
    </w:p>
    <w:p>
      <w:pPr>
        <w:spacing w:after="100"/>
      </w:pPr>
      <w:r>
        <w:rPr>
          <w:rFonts w:ascii="Georgia" w:cs="Georgia" w:eastAsia="Georgia" w:hAnsi="Georgia"/>
          <w:b/>
          <w:bCs/>
          <w:color w:val="0F1222"/>
          <w:sz w:val="44"/>
          <w:szCs w:val="44"/>
        </w:rPr>
        <w:t xml:space="preserve">Trabalho, produtividade e bem-estar docente</w:t>
      </w:r>
    </w:p>
    <w:p>
      <w:pPr>
        <w:spacing w:after="140" w:line="320"/>
        <w:jc w:val="both"/>
      </w:pPr>
      <w:r>
        <w:rPr>
          <w:color w:val="5A6076"/>
          <w:sz w:val="22"/>
          <w:szCs w:val="22"/>
        </w:rPr>
        <w:t xml:space="preserve">Fichamento crítico de artigo científico, com citações localizadas por página, conceitos-chave e ganchos prontos para a sua argumentação.</w:t>
      </w:r>
    </w:p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rPr>
          <w:tblHeader/>
        </w:trPr>
        <w:tc>
          <w:tcPr>
            <w:tcW w:type="dxa" w:w="22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0F1222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Campo</w:t>
            </w:r>
          </w:p>
        </w:tc>
        <w:tc>
          <w:tcPr>
            <w:tcW w:type="dxa" w:w="716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0F1222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Conteúdo</w:t>
            </w:r>
          </w:p>
        </w:tc>
      </w:tr>
      <w:tr>
        <w:tc>
          <w:tcPr>
            <w:tcW w:type="dxa" w:w="22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Referência</w:t>
            </w:r>
          </w:p>
        </w:tc>
        <w:tc>
          <w:tcPr>
            <w:tcW w:type="dxa" w:w="716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SILVA, A. R.; MENDES, C. Trabalho, produtividade e bem-estar docente. Revista Brasileira de Educação, v. 29, n. 3, p. 41–68, 2024.</w:t>
            </w:r>
          </w:p>
        </w:tc>
      </w:tr>
      <w:tr>
        <w:tc>
          <w:tcPr>
            <w:tcW w:type="dxa" w:w="22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F5F6FB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Tipo de texto</w:t>
            </w:r>
          </w:p>
        </w:tc>
        <w:tc>
          <w:tcPr>
            <w:tcW w:type="dxa" w:w="716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F5F6FB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Artigo empírico, revisado por pares (estudo longitudinal, 18 meses)</w:t>
            </w:r>
          </w:p>
        </w:tc>
      </w:tr>
      <w:tr>
        <w:tc>
          <w:tcPr>
            <w:tcW w:type="dxa" w:w="22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Amostra</w:t>
            </w:r>
          </w:p>
        </w:tc>
        <w:tc>
          <w:tcPr>
            <w:tcW w:type="dxa" w:w="716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1.204 estudantes de graduação em 7 universidades brasileiras</w:t>
            </w:r>
          </w:p>
        </w:tc>
      </w:tr>
      <w:tr>
        <w:tc>
          <w:tcPr>
            <w:tcW w:type="dxa" w:w="22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F5F6FB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Palavras-chave</w:t>
            </w:r>
          </w:p>
        </w:tc>
        <w:tc>
          <w:tcPr>
            <w:tcW w:type="dxa" w:w="716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F5F6FB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carga de estudo · organização · desempenho acadêmico · saúde mental</w:t>
            </w:r>
          </w:p>
        </w:tc>
      </w:tr>
      <w:tr>
        <w:tc>
          <w:tcPr>
            <w:tcW w:type="dxa" w:w="22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Fichado em</w:t>
            </w:r>
          </w:p>
        </w:tc>
        <w:tc>
          <w:tcPr>
            <w:tcW w:type="dxa" w:w="716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27/08/2026 · fluxo “Fichamento acadêmico” do MiniMe Labs</w:t>
            </w:r>
          </w:p>
        </w:tc>
      </w:tr>
    </w:tbl>
    <w:p>
      <w:pPr>
        <w:pStyle w:val="Heading1"/>
        <w:spacing w:after="140" w:before="340"/>
      </w:pPr>
      <w:r>
        <w:rPr>
          <w:rFonts w:ascii="Georgia" w:cs="Georgia" w:eastAsia="Georgia" w:hAnsi="Georgia"/>
          <w:b/>
          <w:bCs/>
          <w:color w:val="0F1222"/>
          <w:sz w:val="30"/>
          <w:szCs w:val="30"/>
        </w:rPr>
        <w:t xml:space="preserve">1. Objetivo do estudo</w:t>
      </w:r>
    </w:p>
    <w:p>
      <w:pPr>
        <w:spacing w:after="140" w:line="320"/>
        <w:jc w:val="both"/>
      </w:pPr>
      <w:r>
        <w:rPr>
          <w:color w:val="22263A"/>
          <w:sz w:val="21"/>
          <w:szCs w:val="21"/>
        </w:rPr>
        <w:t xml:space="preserve">Os autores investigam de que forma a distribuição das horas de estudo ao longo da semana — e não o total absoluto de horas — impacta o desempenho acadêmico e os indicadores de exaustão relatados por estudantes de graduação. A hipótese central é que a fragmentação de tarefas cognitivas pesadas em blocos curtos e recorrentes produz melhor retenção do que blocos longos concentrados no fim de semana.</w:t>
      </w:r>
    </w:p>
    <w:p>
      <w:pPr>
        <w:pStyle w:val="Heading1"/>
        <w:spacing w:after="140" w:before="340"/>
      </w:pPr>
      <w:r>
        <w:rPr>
          <w:rFonts w:ascii="Georgia" w:cs="Georgia" w:eastAsia="Georgia" w:hAnsi="Georgia"/>
          <w:b/>
          <w:bCs/>
          <w:color w:val="0F1222"/>
          <w:sz w:val="30"/>
          <w:szCs w:val="30"/>
        </w:rPr>
        <w:t xml:space="preserve">2. Tese central</w:t>
      </w:r>
    </w:p>
    <w:p>
      <w:pPr>
        <w:spacing w:after="140" w:line="320"/>
        <w:jc w:val="both"/>
      </w:pPr>
      <w:r>
        <w:rPr>
          <w:i/>
          <w:iCs/>
          <w:color w:val="22263A"/>
          <w:sz w:val="21"/>
          <w:szCs w:val="21"/>
        </w:rPr>
        <w:t xml:space="preserve">“O ganho de desempenho não vem de estudar mais, mas de estudar em intervalos previsíveis, com entregas parciais verificáveis.” (p. 47)</w:t>
      </w:r>
    </w:p>
    <w:p>
      <w:pPr>
        <w:spacing w:after="140" w:line="320"/>
        <w:jc w:val="both"/>
      </w:pPr>
      <w:r>
        <w:rPr>
          <w:color w:val="22263A"/>
          <w:sz w:val="21"/>
          <w:szCs w:val="21"/>
        </w:rPr>
        <w:t xml:space="preserve">A tese sustenta que previsibilidade e verificação parcial reduzem o custo de retomada de contexto, principal fonte de desperdício de tempo relatada pelos participantes (média de 41 minutos por sessão longa).</w:t>
      </w:r>
    </w:p>
    <w:p>
      <w:pPr>
        <w:pStyle w:val="Heading1"/>
        <w:spacing w:after="140" w:before="340"/>
      </w:pPr>
      <w:r>
        <w:rPr>
          <w:rFonts w:ascii="Georgia" w:cs="Georgia" w:eastAsia="Georgia" w:hAnsi="Georgia"/>
          <w:b/>
          <w:bCs/>
          <w:color w:val="0F1222"/>
          <w:sz w:val="30"/>
          <w:szCs w:val="30"/>
        </w:rPr>
        <w:t xml:space="preserve">3. Fichamento por seção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4400"/>
        <w:gridCol w:w="4160"/>
      </w:tblGrid>
      <w:tr>
        <w:trPr>
          <w:tblHeader/>
        </w:trPr>
        <w:tc>
          <w:tcPr>
            <w:tcW w:type="dxa" w:w="8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0F1222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Pág.</w:t>
            </w:r>
          </w:p>
        </w:tc>
        <w:tc>
          <w:tcPr>
            <w:tcW w:type="dxa" w:w="44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0F1222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Citação / passagem</w:t>
            </w:r>
          </w:p>
        </w:tc>
        <w:tc>
          <w:tcPr>
            <w:tcW w:type="dxa" w:w="416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0F1222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Comentário crítico</w:t>
            </w:r>
          </w:p>
        </w:tc>
      </w:tr>
      <w:tr>
        <w:tc>
          <w:tcPr>
            <w:tcW w:type="dxa" w:w="8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44</w:t>
            </w:r>
          </w:p>
        </w:tc>
        <w:tc>
          <w:tcPr>
            <w:tcW w:type="dxa" w:w="44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“Estudantes que dividiram a carga em 5 blocos semanais tiveram 23% mais retenção do que os que concentraram em 2 blocos.”</w:t>
            </w:r>
          </w:p>
        </w:tc>
        <w:tc>
          <w:tcPr>
            <w:tcW w:type="dxa" w:w="416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Número forte para abrir a discussão. Vale confrontar com Oliveira (2022), que encontra efeito menor (11%) em cursos de exatas.</w:t>
            </w:r>
          </w:p>
        </w:tc>
      </w:tr>
      <w:tr>
        <w:tc>
          <w:tcPr>
            <w:tcW w:type="dxa" w:w="8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F5F6FB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47</w:t>
            </w:r>
          </w:p>
        </w:tc>
        <w:tc>
          <w:tcPr>
            <w:tcW w:type="dxa" w:w="44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F5F6FB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“O ganho não vem de estudar mais, mas de estudar em intervalos previsíveis.”</w:t>
            </w:r>
          </w:p>
        </w:tc>
        <w:tc>
          <w:tcPr>
            <w:tcW w:type="dxa" w:w="416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F5F6FB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Citação-âncora do trabalho. Sustenta a seção de metodologia da sua pesquisa.</w:t>
            </w:r>
          </w:p>
        </w:tc>
      </w:tr>
      <w:tr>
        <w:tc>
          <w:tcPr>
            <w:tcW w:type="dxa" w:w="8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52</w:t>
            </w:r>
          </w:p>
        </w:tc>
        <w:tc>
          <w:tcPr>
            <w:tcW w:type="dxa" w:w="44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“A exaustão relatada cresce de forma não linear após a quarta hora contínua de leitura técnica.”</w:t>
            </w:r>
          </w:p>
        </w:tc>
        <w:tc>
          <w:tcPr>
            <w:tcW w:type="dxa" w:w="416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Justifica o limite de 3h por bloco no cronograma proposto no capítulo 4.</w:t>
            </w:r>
          </w:p>
        </w:tc>
      </w:tr>
      <w:tr>
        <w:tc>
          <w:tcPr>
            <w:tcW w:type="dxa" w:w="8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F5F6FB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58</w:t>
            </w:r>
          </w:p>
        </w:tc>
        <w:tc>
          <w:tcPr>
            <w:tcW w:type="dxa" w:w="44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F5F6FB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“Entregas parciais funcionam como pontos de verificação e reduzem o retrabalho em 31%.”</w:t>
            </w:r>
          </w:p>
        </w:tc>
        <w:tc>
          <w:tcPr>
            <w:tcW w:type="dxa" w:w="416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F5F6FB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Base direta para defender revisões semanais em vez de revisão única final.</w:t>
            </w:r>
          </w:p>
        </w:tc>
      </w:tr>
      <w:tr>
        <w:tc>
          <w:tcPr>
            <w:tcW w:type="dxa" w:w="8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63</w:t>
            </w:r>
          </w:p>
        </w:tc>
        <w:tc>
          <w:tcPr>
            <w:tcW w:type="dxa" w:w="44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“Ferramentas de apoio só produzem ganho quando eliminam etapa manual, não quando adicionam etapa de controle.”</w:t>
            </w:r>
          </w:p>
        </w:tc>
        <w:tc>
          <w:tcPr>
            <w:tcW w:type="dxa" w:w="416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Ponto de cautela: usar para discutir limites da automação no seu referencial.</w:t>
            </w:r>
          </w:p>
        </w:tc>
      </w:tr>
    </w:tbl>
    <w:p>
      <w:pPr>
        <w:pStyle w:val="Heading1"/>
        <w:spacing w:after="140" w:before="340"/>
      </w:pPr>
      <w:r>
        <w:rPr>
          <w:rFonts w:ascii="Georgia" w:cs="Georgia" w:eastAsia="Georgia" w:hAnsi="Georgia"/>
          <w:b/>
          <w:bCs/>
          <w:color w:val="0F1222"/>
          <w:sz w:val="30"/>
          <w:szCs w:val="30"/>
        </w:rPr>
        <w:t xml:space="preserve">4. Conceitos-chave</w:t>
      </w:r>
    </w:p>
    <w:p>
      <w:pPr>
        <w:pStyle w:val="ListParagraph"/>
        <w:numPr>
          <w:ilvl w:val="0"/>
          <w:numId w:val="1"/>
        </w:numPr>
        <w:spacing w:after="90" w:line="300"/>
      </w:pPr>
      <w:r>
        <w:rPr>
          <w:color w:val="22263A"/>
          <w:sz w:val="21"/>
          <w:szCs w:val="21"/>
        </w:rPr>
        <w:t xml:space="preserve">Custo de retomada de contexto — tempo gasto para voltar ao ponto em que a tarefa parou (p. 46).</w:t>
      </w:r>
    </w:p>
    <w:p>
      <w:pPr>
        <w:pStyle w:val="ListParagraph"/>
        <w:numPr>
          <w:ilvl w:val="0"/>
          <w:numId w:val="1"/>
        </w:numPr>
        <w:spacing w:after="90" w:line="300"/>
      </w:pPr>
      <w:r>
        <w:rPr>
          <w:color w:val="22263A"/>
          <w:sz w:val="21"/>
          <w:szCs w:val="21"/>
        </w:rPr>
        <w:t xml:space="preserve">Bloco verificável — unidade de estudo que termina em um artefato conferível: resumo, ficha, esquema (p. 49).</w:t>
      </w:r>
    </w:p>
    <w:p>
      <w:pPr>
        <w:pStyle w:val="ListParagraph"/>
        <w:numPr>
          <w:ilvl w:val="0"/>
          <w:numId w:val="1"/>
        </w:numPr>
        <w:spacing w:after="90" w:line="300"/>
      </w:pPr>
      <w:r>
        <w:rPr>
          <w:color w:val="22263A"/>
          <w:sz w:val="21"/>
          <w:szCs w:val="21"/>
        </w:rPr>
        <w:t xml:space="preserve">Exaustão não linear — a fadiga não cresce em proporção às horas; acelera após a quarta hora contínua (p. 52).</w:t>
      </w:r>
    </w:p>
    <w:p>
      <w:pPr>
        <w:pStyle w:val="ListParagraph"/>
        <w:numPr>
          <w:ilvl w:val="0"/>
          <w:numId w:val="1"/>
        </w:numPr>
        <w:spacing w:after="90" w:line="300"/>
      </w:pPr>
      <w:r>
        <w:rPr>
          <w:color w:val="22263A"/>
          <w:sz w:val="21"/>
          <w:szCs w:val="21"/>
        </w:rPr>
        <w:t xml:space="preserve">Automação subtrativa — só há ganho quando a ferramenta remove uma etapa, em vez de acrescentar controle (p. 63).</w:t>
      </w:r>
    </w:p>
    <w:p>
      <w:pPr>
        <w:pStyle w:val="Heading1"/>
        <w:spacing w:after="140" w:before="340"/>
      </w:pPr>
      <w:r>
        <w:rPr>
          <w:rFonts w:ascii="Georgia" w:cs="Georgia" w:eastAsia="Georgia" w:hAnsi="Georgia"/>
          <w:b/>
          <w:bCs/>
          <w:color w:val="0F1222"/>
          <w:sz w:val="30"/>
          <w:szCs w:val="30"/>
        </w:rPr>
        <w:t xml:space="preserve">5. Metodologia</w:t>
      </w:r>
    </w:p>
    <w:p>
      <w:pPr>
        <w:spacing w:after="140" w:line="320"/>
        <w:jc w:val="both"/>
      </w:pPr>
      <w:r>
        <w:rPr>
          <w:color w:val="22263A"/>
          <w:sz w:val="21"/>
          <w:szCs w:val="21"/>
        </w:rPr>
        <w:t xml:space="preserve">Estudo longitudinal de 18 meses, com três coletas (T0, T9, T18). Desempenho medido por média ponderada nas disciplinas; exaustão pela escala MBI-SS adaptada. Controles: curso, período, vínculo empregatício e horas de trabalho remunerado. Análise por modelos mistos com efeito aleatório por instituição.</w:t>
      </w:r>
    </w:p>
    <w:p>
      <w:pPr>
        <w:pStyle w:val="Heading1"/>
        <w:spacing w:after="140" w:before="340"/>
      </w:pPr>
      <w:r>
        <w:rPr>
          <w:rFonts w:ascii="Georgia" w:cs="Georgia" w:eastAsia="Georgia" w:hAnsi="Georgia"/>
          <w:b/>
          <w:bCs/>
          <w:color w:val="0F1222"/>
          <w:sz w:val="30"/>
          <w:szCs w:val="30"/>
        </w:rPr>
        <w:t xml:space="preserve">6. Resultados principais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100"/>
        <w:gridCol w:w="2100"/>
        <w:gridCol w:w="1960"/>
      </w:tblGrid>
      <w:tr>
        <w:trPr>
          <w:tblHeader/>
        </w:trPr>
        <w:tc>
          <w:tcPr>
            <w:tcW w:type="dxa" w:w="32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0F1222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Indicador</w:t>
            </w:r>
          </w:p>
        </w:tc>
        <w:tc>
          <w:tcPr>
            <w:tcW w:type="dxa" w:w="21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0F1222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Grupo concentrado</w:t>
            </w:r>
          </w:p>
        </w:tc>
        <w:tc>
          <w:tcPr>
            <w:tcW w:type="dxa" w:w="21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0F1222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Grupo distribuído</w:t>
            </w:r>
          </w:p>
        </w:tc>
        <w:tc>
          <w:tcPr>
            <w:tcW w:type="dxa" w:w="196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0F1222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Diferença</w:t>
            </w:r>
          </w:p>
        </w:tc>
      </w:tr>
      <w:tr>
        <w:tc>
          <w:tcPr>
            <w:tcW w:type="dxa" w:w="32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Retenção após 30 dias</w:t>
            </w:r>
          </w:p>
        </w:tc>
        <w:tc>
          <w:tcPr>
            <w:tcW w:type="dxa" w:w="21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54%</w:t>
            </w:r>
          </w:p>
        </w:tc>
        <w:tc>
          <w:tcPr>
            <w:tcW w:type="dxa" w:w="21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77%</w:t>
            </w:r>
          </w:p>
        </w:tc>
        <w:tc>
          <w:tcPr>
            <w:tcW w:type="dxa" w:w="196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+23 p.p.</w:t>
            </w:r>
          </w:p>
        </w:tc>
      </w:tr>
      <w:tr>
        <w:tc>
          <w:tcPr>
            <w:tcW w:type="dxa" w:w="32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F5F6FB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Retrabalho em entregas</w:t>
            </w:r>
          </w:p>
        </w:tc>
        <w:tc>
          <w:tcPr>
            <w:tcW w:type="dxa" w:w="21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F5F6FB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38%</w:t>
            </w:r>
          </w:p>
        </w:tc>
        <w:tc>
          <w:tcPr>
            <w:tcW w:type="dxa" w:w="21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F5F6FB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26%</w:t>
            </w:r>
          </w:p>
        </w:tc>
        <w:tc>
          <w:tcPr>
            <w:tcW w:type="dxa" w:w="196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F5F6FB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−31%</w:t>
            </w:r>
          </w:p>
        </w:tc>
      </w:tr>
      <w:tr>
        <w:tc>
          <w:tcPr>
            <w:tcW w:type="dxa" w:w="32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Exaustão relatada (MBI-SS)</w:t>
            </w:r>
          </w:p>
        </w:tc>
        <w:tc>
          <w:tcPr>
            <w:tcW w:type="dxa" w:w="21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3,8 / 5</w:t>
            </w:r>
          </w:p>
        </w:tc>
        <w:tc>
          <w:tcPr>
            <w:tcW w:type="dxa" w:w="21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2,6 / 5</w:t>
            </w:r>
          </w:p>
        </w:tc>
        <w:tc>
          <w:tcPr>
            <w:tcW w:type="dxa" w:w="196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−1,2</w:t>
            </w:r>
          </w:p>
        </w:tc>
      </w:tr>
      <w:tr>
        <w:tc>
          <w:tcPr>
            <w:tcW w:type="dxa" w:w="32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F5F6FB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Horas semanais de estudo</w:t>
            </w:r>
          </w:p>
        </w:tc>
        <w:tc>
          <w:tcPr>
            <w:tcW w:type="dxa" w:w="21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F5F6FB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14,2 h</w:t>
            </w:r>
          </w:p>
        </w:tc>
        <w:tc>
          <w:tcPr>
            <w:tcW w:type="dxa" w:w="210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F5F6FB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13,6 h</w:t>
            </w:r>
          </w:p>
        </w:tc>
        <w:tc>
          <w:tcPr>
            <w:tcW w:type="dxa" w:w="1960"/>
            <w:tcBorders>
              <w:top w:val="single" w:color="DDE0EA" w:sz="1"/>
              <w:left w:val="single" w:color="DDE0EA" w:sz="1"/>
              <w:bottom w:val="single" w:color="DDE0EA" w:sz="1"/>
              <w:right w:val="single" w:color="DDE0EA" w:sz="1"/>
            </w:tcBorders>
            <w:shd w:fill="F5F6FB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line="280"/>
            </w:pPr>
            <w:r>
              <w:rPr>
                <w:b w:val="false"/>
                <w:bCs w:val="false"/>
                <w:color w:val="22263A"/>
                <w:sz w:val="19"/>
                <w:szCs w:val="19"/>
              </w:rPr>
              <w:t xml:space="preserve">praticamente igual</w:t>
            </w:r>
          </w:p>
        </w:tc>
      </w:tr>
    </w:tbl>
    <w:p>
      <w:pPr>
        <w:spacing w:after="140" w:line="320"/>
        <w:jc w:val="both"/>
      </w:pPr>
      <w:r>
        <w:rPr>
          <w:color w:val="22263A"/>
          <w:sz w:val="21"/>
          <w:szCs w:val="21"/>
        </w:rPr>
        <w:t xml:space="preserve">O achado mais relevante para uma pesquisa aplicada é a última linha: o grupo distribuído estudou menos horas e ainda assim obteve melhor resultado — o que desloca o debate de “quantidade” para “arquitetura do tempo”.</w:t>
      </w:r>
    </w:p>
    <w:p>
      <w:pPr>
        <w:pStyle w:val="Heading1"/>
        <w:spacing w:after="140" w:before="340"/>
      </w:pPr>
      <w:r>
        <w:rPr>
          <w:rFonts w:ascii="Georgia" w:cs="Georgia" w:eastAsia="Georgia" w:hAnsi="Georgia"/>
          <w:b/>
          <w:bCs/>
          <w:color w:val="0F1222"/>
          <w:sz w:val="30"/>
          <w:szCs w:val="30"/>
        </w:rPr>
        <w:t xml:space="preserve">7. Limitações apontadas</w:t>
      </w:r>
    </w:p>
    <w:p>
      <w:pPr>
        <w:pStyle w:val="ListParagraph"/>
        <w:numPr>
          <w:ilvl w:val="0"/>
          <w:numId w:val="1"/>
        </w:numPr>
        <w:spacing w:after="90" w:line="300"/>
      </w:pPr>
      <w:r>
        <w:rPr>
          <w:color w:val="22263A"/>
          <w:sz w:val="21"/>
          <w:szCs w:val="21"/>
        </w:rPr>
        <w:t xml:space="preserve">Amostra concentrada em universidades do Sudeste (68% dos participantes).</w:t>
      </w:r>
    </w:p>
    <w:p>
      <w:pPr>
        <w:pStyle w:val="ListParagraph"/>
        <w:numPr>
          <w:ilvl w:val="0"/>
          <w:numId w:val="1"/>
        </w:numPr>
        <w:spacing w:after="90" w:line="300"/>
      </w:pPr>
      <w:r>
        <w:rPr>
          <w:color w:val="22263A"/>
          <w:sz w:val="21"/>
          <w:szCs w:val="21"/>
        </w:rPr>
        <w:t xml:space="preserve">Autorrelato de horas, sem verificação instrumental.</w:t>
      </w:r>
    </w:p>
    <w:p>
      <w:pPr>
        <w:pStyle w:val="ListParagraph"/>
        <w:numPr>
          <w:ilvl w:val="0"/>
          <w:numId w:val="1"/>
        </w:numPr>
        <w:spacing w:after="90" w:line="300"/>
      </w:pPr>
      <w:r>
        <w:rPr>
          <w:color w:val="22263A"/>
          <w:sz w:val="21"/>
          <w:szCs w:val="21"/>
        </w:rPr>
        <w:t xml:space="preserve">Ausência de grupo controle sem intervenção pedagógica.</w:t>
      </w:r>
    </w:p>
    <w:p>
      <w:pPr>
        <w:pStyle w:val="Heading1"/>
        <w:spacing w:after="140" w:before="340"/>
      </w:pPr>
      <w:r>
        <w:rPr>
          <w:rFonts w:ascii="Georgia" w:cs="Georgia" w:eastAsia="Georgia" w:hAnsi="Georgia"/>
          <w:b/>
          <w:bCs/>
          <w:color w:val="0F1222"/>
          <w:sz w:val="30"/>
          <w:szCs w:val="30"/>
        </w:rPr>
        <w:t xml:space="preserve">8. Como usar este fichamento no seu trabalho</w:t>
      </w:r>
    </w:p>
    <w:p>
      <w:pPr>
        <w:pStyle w:val="ListParagraph"/>
        <w:numPr>
          <w:ilvl w:val="0"/>
          <w:numId w:val="1"/>
        </w:numPr>
        <w:spacing w:after="90" w:line="300"/>
      </w:pPr>
      <w:r>
        <w:rPr>
          <w:color w:val="22263A"/>
          <w:sz w:val="21"/>
          <w:szCs w:val="21"/>
        </w:rPr>
        <w:t xml:space="preserve">Introdução: abra com o dado de +23 p.p. de retenção (p. 44) para justificar a relevância do problema.</w:t>
      </w:r>
    </w:p>
    <w:p>
      <w:pPr>
        <w:pStyle w:val="ListParagraph"/>
        <w:numPr>
          <w:ilvl w:val="0"/>
          <w:numId w:val="1"/>
        </w:numPr>
        <w:spacing w:after="90" w:line="300"/>
      </w:pPr>
      <w:r>
        <w:rPr>
          <w:color w:val="22263A"/>
          <w:sz w:val="21"/>
          <w:szCs w:val="21"/>
        </w:rPr>
        <w:t xml:space="preserve">Referencial teórico: use “bloco verificável” (p. 49) como conceito operacional do seu método.</w:t>
      </w:r>
    </w:p>
    <w:p>
      <w:pPr>
        <w:pStyle w:val="ListParagraph"/>
        <w:numPr>
          <w:ilvl w:val="0"/>
          <w:numId w:val="1"/>
        </w:numPr>
        <w:spacing w:after="90" w:line="300"/>
      </w:pPr>
      <w:r>
        <w:rPr>
          <w:color w:val="22263A"/>
          <w:sz w:val="21"/>
          <w:szCs w:val="21"/>
        </w:rPr>
        <w:t xml:space="preserve">Metodologia: cite o limite de 3 horas contínuas (p. 52) ao justificar o desenho da sua coleta.</w:t>
      </w:r>
    </w:p>
    <w:p>
      <w:pPr>
        <w:pStyle w:val="ListParagraph"/>
        <w:numPr>
          <w:ilvl w:val="0"/>
          <w:numId w:val="1"/>
        </w:numPr>
        <w:spacing w:after="90" w:line="300"/>
      </w:pPr>
      <w:r>
        <w:rPr>
          <w:color w:val="22263A"/>
          <w:sz w:val="21"/>
          <w:szCs w:val="21"/>
        </w:rPr>
        <w:t xml:space="preserve">Discussão: confronte a “automação subtrativa” (p. 63) com os seus próprios resultados.</w:t>
      </w:r>
    </w:p>
    <w:p>
      <w:pPr>
        <w:pStyle w:val="Heading1"/>
        <w:spacing w:after="140" w:before="340"/>
      </w:pPr>
      <w:r>
        <w:rPr>
          <w:rFonts w:ascii="Georgia" w:cs="Georgia" w:eastAsia="Georgia" w:hAnsi="Georgia"/>
          <w:b/>
          <w:bCs/>
          <w:color w:val="0F1222"/>
          <w:sz w:val="30"/>
          <w:szCs w:val="30"/>
        </w:rPr>
        <w:t xml:space="preserve">9. Referência em ABNT</w:t>
      </w:r>
    </w:p>
    <w:p>
      <w:pPr>
        <w:spacing w:after="140" w:line="320"/>
        <w:jc w:val="both"/>
      </w:pPr>
      <w:r>
        <w:rPr>
          <w:color w:val="22263A"/>
          <w:sz w:val="20"/>
          <w:szCs w:val="20"/>
        </w:rPr>
        <w:t xml:space="preserve">SILVA, Ana Rita; MENDES, Caio. Trabalho, produtividade e bem-estar docente. Revista Brasileira de Educação, São Paulo, v. 29, n. 3, p. 41-68, 2024. DOI: 10.0000/rbe.2024.293.</w:t>
      </w:r>
    </w:p>
    <w:p>
      <w:pPr>
        <w:spacing w:after="200" w:before="4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0F1222" w:color="auto" w:val="clear"/>
            <w:tcMar>
              <w:top w:type="dxa" w:w="260"/>
              <w:left w:type="dxa" w:w="260"/>
              <w:bottom w:type="dxa" w:w="260"/>
              <w:right w:type="dxa" w:w="260"/>
            </w:tcMar>
          </w:tcPr>
          <w:p>
            <w:pPr>
              <w:spacing w:after="9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6"/>
                <w:szCs w:val="26"/>
              </w:rPr>
              <w:t xml:space="preserve">Comece no MINIME LABS — minime.ia.br</w:t>
            </w:r>
          </w:p>
          <w:p>
            <w:pPr>
              <w:spacing w:line="300"/>
              <w:jc w:val="center"/>
            </w:pPr>
            <w:r>
              <w:rPr>
                <w:color w:val="C9CEE6"/>
                <w:sz w:val="19"/>
                <w:szCs w:val="19"/>
              </w:rPr>
              <w:t xml:space="preserve">Descreva a tarefa em português, anexe seus arquivos e receba o documento pronto em minutos. 7 dias grátis, sem cartão.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3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6076"/>
        <w:sz w:val="16"/>
        <w:szCs w:val="16"/>
      </w:rPr>
      <w:t xml:space="preserve">Gerado por MiniMe Labs · minime.ia.br · página </w:t>
    </w:r>
    <w:r>
      <w:rPr>
        <w:color w:val="5A607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DE0EA" w:sz="6" w:space="6"/>
      </w:pBdr>
      <w:spacing w:after="60"/>
    </w:pPr>
    <w:r>
      <w:drawing>
        <wp:inline distT="0" distB="0" distL="0" distR="0">
          <wp:extent cx="1257300" cy="285750"/>
          <wp:effectExtent t="0" r="0" b="0" l="0"/>
          <wp:docPr id="1" name="logo" descr="MiniMe Labs" title="MiniMe Lab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793ecaedd970c949c94f3513f6df08cd14224d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2026-08-27T23:31:38.025Z</dcterms:created>
  <dcterms:modified xsi:type="dcterms:W3CDTF">2026-08-27T23:31:38.025Z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